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8D3A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</w:pPr>
      <w:r w:rsidRPr="00D77BE2"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  <w:t>RESOLUTION IN SUPPORT OF CONSIDERING</w:t>
      </w:r>
    </w:p>
    <w:p w14:paraId="33A7BC91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</w:pPr>
      <w:r w:rsidRPr="00D77BE2"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  <w:t>AN ALTERNATIVE ROUTING FOR THE</w:t>
      </w:r>
    </w:p>
    <w:p w14:paraId="1B1862C1" w14:textId="26161296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</w:pPr>
      <w:r w:rsidRPr="00D77BE2"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  <w:t>GOPHER TO BADGER LINK PROJECT</w:t>
      </w:r>
    </w:p>
    <w:p w14:paraId="4112DA88" w14:textId="17102414" w:rsidR="00D77BE2" w:rsidRDefault="00D77BE2" w:rsidP="00D77B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</w:pPr>
      <w:r w:rsidRPr="008F49BD">
        <w:rPr>
          <w:rFonts w:ascii="Times-BoldItalic" w:hAnsi="Times-BoldItalic" w:cs="Times-BoldItalic"/>
          <w:b/>
          <w:bCs/>
          <w:color w:val="000000"/>
          <w:kern w:val="0"/>
          <w:sz w:val="28"/>
          <w:szCs w:val="28"/>
        </w:rPr>
        <w:t>Oronoco Township</w:t>
      </w: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  <w:t>, Olmsted County, Minnesota – Resolution No.</w:t>
      </w: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  <w:t xml:space="preserve"> 2026-02</w:t>
      </w:r>
    </w:p>
    <w:p w14:paraId="21324C81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kern w:val="0"/>
        </w:rPr>
      </w:pPr>
    </w:p>
    <w:p w14:paraId="5C7DEADC" w14:textId="28C051C5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Bold" w:hAnsi="Times-Bold" w:cs="Times-Bold"/>
          <w:b/>
          <w:bCs/>
          <w:color w:val="000000"/>
          <w:kern w:val="0"/>
        </w:rPr>
        <w:t>WHEREAS</w:t>
      </w:r>
      <w:r w:rsidRPr="00D77BE2">
        <w:rPr>
          <w:rFonts w:ascii="Times-Roman" w:hAnsi="Times-Roman" w:cs="Times-Roman"/>
          <w:color w:val="000000"/>
          <w:kern w:val="0"/>
        </w:rPr>
        <w:t>, Northern States Power Company, doing business as Xcel Energy, and Dairyland Power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Cooperative (collectively, "Applicants") have filed a Joint Application with the Minnesota Public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Utilities Commission ("MPUC") for a Certificate of Need (MPUC Docket No. ET3,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E002/CN-25-121)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for the Gopher to Badger Link Transmission Line Project ("Project "); and</w:t>
      </w:r>
    </w:p>
    <w:p w14:paraId="278CC3DE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724078BE" w14:textId="032DEEC2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Bold" w:hAnsi="Times-Bold" w:cs="Times-Bold"/>
          <w:b/>
          <w:bCs/>
          <w:color w:val="000000"/>
          <w:kern w:val="0"/>
        </w:rPr>
        <w:t>WHEREAS</w:t>
      </w:r>
      <w:r w:rsidRPr="00D77BE2">
        <w:rPr>
          <w:rFonts w:ascii="Times-Roman" w:hAnsi="Times-Roman" w:cs="Times-Roman"/>
          <w:color w:val="000000"/>
          <w:kern w:val="0"/>
        </w:rPr>
        <w:t>, the Application states that the Project was approved by Midcontinent Independent System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Operator Inc. (MISO) as part of its Long-Range Transmission Planning (LRTP) Tranche 2.1 Portfolio;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and</w:t>
      </w:r>
    </w:p>
    <w:p w14:paraId="467514C0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75D9F53F" w14:textId="552B026A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Bold" w:hAnsi="Times-Bold" w:cs="Times-Bold"/>
          <w:b/>
          <w:bCs/>
          <w:color w:val="000000"/>
          <w:kern w:val="0"/>
        </w:rPr>
        <w:t>WHEREAS</w:t>
      </w:r>
      <w:r w:rsidRPr="00D77BE2">
        <w:rPr>
          <w:rFonts w:ascii="Times-Roman" w:hAnsi="Times-Roman" w:cs="Times-Roman"/>
          <w:color w:val="000000"/>
          <w:kern w:val="0"/>
        </w:rPr>
        <w:t>, under Minn. Stat. §116B.04, even where a project serves public purposes, it may proceed only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if there is “no feasible and prudent alternative”; and</w:t>
      </w:r>
    </w:p>
    <w:p w14:paraId="5626E0B3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13D1AA56" w14:textId="2161224B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Bold" w:hAnsi="Times-Bold" w:cs="Times-Bold"/>
          <w:b/>
          <w:bCs/>
          <w:color w:val="000000"/>
          <w:kern w:val="0"/>
        </w:rPr>
        <w:t>WHEREAS</w:t>
      </w:r>
      <w:r w:rsidRPr="00D77BE2">
        <w:rPr>
          <w:rFonts w:ascii="Times-Roman" w:hAnsi="Times-Roman" w:cs="Times-Roman"/>
          <w:color w:val="000000"/>
          <w:kern w:val="0"/>
        </w:rPr>
        <w:t>, the current Project Study Area for the Project includes the following 14 townships in Olmsted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County: Oronoco Township, Farmington Township, Cascade Township, Haverhill Township, Viola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Township, Quincy Township, Rochester Township, Marion Township, Eyota Township, Dover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Township, High Forest Township, Pleasant Grove Township, Orion Township, and Elmira Township;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and</w:t>
      </w:r>
    </w:p>
    <w:p w14:paraId="49E9AC1A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2C35C212" w14:textId="1EB373F0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Bold" w:hAnsi="Times-Bold" w:cs="Times-Bold"/>
          <w:b/>
          <w:bCs/>
          <w:color w:val="000000"/>
          <w:kern w:val="0"/>
        </w:rPr>
        <w:t>WHEREAS</w:t>
      </w:r>
      <w:r w:rsidRPr="00D77BE2">
        <w:rPr>
          <w:rFonts w:ascii="Times-Roman" w:hAnsi="Times-Roman" w:cs="Times-Roman"/>
          <w:color w:val="000000"/>
          <w:kern w:val="0"/>
        </w:rPr>
        <w:t xml:space="preserve">, a </w:t>
      </w:r>
      <w:r w:rsidRPr="00012778">
        <w:rPr>
          <w:rFonts w:ascii="Times-Roman" w:hAnsi="Times-Roman" w:cs="Times-Roman"/>
          <w:color w:val="000000"/>
          <w:kern w:val="0"/>
          <w:u w:val="single"/>
        </w:rPr>
        <w:t>No Build Segment 1 and Partial Build Segment 2 Option</w:t>
      </w:r>
      <w:r w:rsidRPr="00D77BE2">
        <w:rPr>
          <w:rFonts w:ascii="Times-Roman" w:hAnsi="Times-Roman" w:cs="Times-Roman"/>
          <w:color w:val="000000"/>
          <w:kern w:val="0"/>
        </w:rPr>
        <w:t xml:space="preserve"> alternative was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resubmitted as a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Public Comment on the Completeness of Application 25-221, on February 17, 2026, (MPUC Docket No.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25-121(CN) 20262-228222-02, pages 2-5, by Thomforde) that eliminates any impact on the 14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townships in Olmsted County listed above;</w:t>
      </w:r>
    </w:p>
    <w:p w14:paraId="1B409CE3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61EF95EC" w14:textId="46C820E1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Bold" w:hAnsi="Times-Bold" w:cs="Times-Bold"/>
          <w:b/>
          <w:bCs/>
          <w:color w:val="000000"/>
          <w:kern w:val="0"/>
        </w:rPr>
        <w:t>NOW, THEREFORE, BE IT RESOLVED</w:t>
      </w:r>
      <w:r w:rsidRPr="00D77BE2">
        <w:rPr>
          <w:rFonts w:ascii="Times-Roman" w:hAnsi="Times-Roman" w:cs="Times-Roman"/>
          <w:color w:val="000000"/>
          <w:kern w:val="0"/>
        </w:rPr>
        <w:t xml:space="preserve">, the </w:t>
      </w:r>
      <w:r w:rsidR="008F49BD" w:rsidRPr="008F49BD">
        <w:rPr>
          <w:rFonts w:ascii="Times-Italic" w:hAnsi="Times-Italic" w:cs="Times-Italic"/>
          <w:color w:val="000000"/>
          <w:kern w:val="0"/>
        </w:rPr>
        <w:t>Oronoco</w:t>
      </w:r>
      <w:r w:rsidRPr="00D77BE2">
        <w:rPr>
          <w:rFonts w:ascii="Times-Italic" w:hAnsi="Times-Italic" w:cs="Times-Italic"/>
          <w:i/>
          <w:iCs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Town Board supports a comprehensive review of the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012778">
        <w:rPr>
          <w:rFonts w:ascii="Times-Roman" w:hAnsi="Times-Roman" w:cs="Times-Roman"/>
          <w:color w:val="000000"/>
          <w:kern w:val="0"/>
          <w:u w:val="single"/>
        </w:rPr>
        <w:t>No Build Segment 1 and Partial Build Segment 2 Option</w:t>
      </w:r>
      <w:r w:rsidRPr="00D77BE2">
        <w:rPr>
          <w:rFonts w:ascii="Times-Roman" w:hAnsi="Times-Roman" w:cs="Times-Roman"/>
          <w:color w:val="000000"/>
          <w:kern w:val="0"/>
        </w:rPr>
        <w:t xml:space="preserve"> alternative for the Gopher to Badger Link by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the Applicants and MISO; and</w:t>
      </w:r>
    </w:p>
    <w:p w14:paraId="4F86D6F9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5F2737DF" w14:textId="1E682D80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Bold" w:hAnsi="Times-Bold" w:cs="Times-Bold"/>
          <w:b/>
          <w:bCs/>
          <w:color w:val="000000"/>
          <w:kern w:val="0"/>
        </w:rPr>
        <w:t>BE IT FURTHER RESOLVED</w:t>
      </w:r>
      <w:r w:rsidRPr="00D77BE2">
        <w:rPr>
          <w:rFonts w:ascii="Times-Roman" w:hAnsi="Times-Roman" w:cs="Times-Roman"/>
          <w:color w:val="000000"/>
          <w:kern w:val="0"/>
        </w:rPr>
        <w:t>, the comprehensive review by the Applicants and MISO should be started</w:t>
      </w:r>
      <w:r>
        <w:rPr>
          <w:rFonts w:ascii="Times-Roman" w:hAnsi="Times-Roman" w:cs="Times-Roman"/>
          <w:color w:val="000000"/>
          <w:kern w:val="0"/>
        </w:rPr>
        <w:t xml:space="preserve"> i</w:t>
      </w:r>
      <w:r w:rsidRPr="00D77BE2">
        <w:rPr>
          <w:rFonts w:ascii="Times-Roman" w:hAnsi="Times-Roman" w:cs="Times-Roman"/>
          <w:color w:val="000000"/>
          <w:kern w:val="0"/>
        </w:rPr>
        <w:t>mmediately instead of waiting up to a year for the scoping public comments to conclude, resulting in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needlessly delaying the permitting process or compromising the quality of the comprehensive review</w:t>
      </w:r>
      <w:r>
        <w:rPr>
          <w:rFonts w:ascii="Times-Roman" w:hAnsi="Times-Roman" w:cs="Times-Roman"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>process.</w:t>
      </w:r>
    </w:p>
    <w:p w14:paraId="0FD1FC3C" w14:textId="77777777" w:rsid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204F01EF" w14:textId="77777777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</w:p>
    <w:p w14:paraId="74867B8A" w14:textId="3EB52A83" w:rsidR="00D77BE2" w:rsidRPr="00D77BE2" w:rsidRDefault="00D77BE2" w:rsidP="00D77B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kern w:val="0"/>
        </w:rPr>
      </w:pPr>
      <w:r w:rsidRPr="00D77BE2">
        <w:rPr>
          <w:rFonts w:ascii="Times-Roman" w:hAnsi="Times-Roman" w:cs="Times-Roman"/>
          <w:color w:val="000000"/>
          <w:kern w:val="0"/>
        </w:rPr>
        <w:t xml:space="preserve">Adopted by the </w:t>
      </w:r>
      <w:r w:rsidR="008F49BD" w:rsidRPr="008F49BD">
        <w:rPr>
          <w:rFonts w:ascii="Times-Italic" w:hAnsi="Times-Italic" w:cs="Times-Italic"/>
          <w:color w:val="000000"/>
          <w:kern w:val="0"/>
        </w:rPr>
        <w:t>Oronoco</w:t>
      </w:r>
      <w:r w:rsidRPr="00D77BE2">
        <w:rPr>
          <w:rFonts w:ascii="Times-Italic" w:hAnsi="Times-Italic" w:cs="Times-Italic"/>
          <w:i/>
          <w:iCs/>
          <w:color w:val="000000"/>
          <w:kern w:val="0"/>
        </w:rPr>
        <w:t xml:space="preserve"> </w:t>
      </w:r>
      <w:r w:rsidRPr="00D77BE2">
        <w:rPr>
          <w:rFonts w:ascii="Times-Roman" w:hAnsi="Times-Roman" w:cs="Times-Roman"/>
          <w:color w:val="000000"/>
          <w:kern w:val="0"/>
        </w:rPr>
        <w:t xml:space="preserve">Town Board on this </w:t>
      </w:r>
      <w:r w:rsidR="008F49BD">
        <w:rPr>
          <w:rFonts w:ascii="Times-Roman" w:hAnsi="Times-Roman" w:cs="Times-Roman"/>
          <w:color w:val="000000"/>
          <w:kern w:val="0"/>
        </w:rPr>
        <w:t>13</w:t>
      </w:r>
      <w:r w:rsidRPr="00D77BE2">
        <w:rPr>
          <w:rFonts w:ascii="Times-Roman" w:hAnsi="Times-Roman" w:cs="Times-Roman"/>
          <w:color w:val="000000"/>
          <w:kern w:val="0"/>
        </w:rPr>
        <w:t>day of</w:t>
      </w:r>
      <w:r w:rsidR="008F49BD">
        <w:rPr>
          <w:rFonts w:ascii="Times-Roman" w:hAnsi="Times-Roman" w:cs="Times-Roman"/>
          <w:color w:val="000000"/>
          <w:kern w:val="0"/>
        </w:rPr>
        <w:t xml:space="preserve"> April</w:t>
      </w:r>
      <w:r w:rsidRPr="00D77BE2">
        <w:rPr>
          <w:rFonts w:ascii="Times-Roman" w:hAnsi="Times-Roman" w:cs="Times-Roman"/>
          <w:color w:val="000000"/>
          <w:kern w:val="0"/>
        </w:rPr>
        <w:t>, 2026.</w:t>
      </w:r>
    </w:p>
    <w:p w14:paraId="31093201" w14:textId="0944C47F" w:rsidR="006E7173" w:rsidRPr="00D77BE2" w:rsidRDefault="00D77BE2" w:rsidP="00D77BE2">
      <w:pPr>
        <w:rPr>
          <w:rFonts w:ascii="Times-Italic" w:hAnsi="Times-Italic" w:cs="Times-Italic"/>
          <w:b/>
          <w:bCs/>
          <w:color w:val="000000"/>
          <w:kern w:val="0"/>
        </w:rPr>
      </w:pPr>
      <w:r>
        <w:rPr>
          <w:rFonts w:ascii="Times-Italic" w:hAnsi="Times-Italic" w:cs="Times-Italic"/>
          <w:b/>
          <w:bCs/>
          <w:color w:val="000000"/>
          <w:kern w:val="0"/>
        </w:rPr>
        <w:t>BY THE TOWN BOARD</w:t>
      </w:r>
    </w:p>
    <w:p w14:paraId="381A39EC" w14:textId="77777777" w:rsidR="00D77BE2" w:rsidRDefault="00D77BE2" w:rsidP="00D77BE2"/>
    <w:p w14:paraId="550B1FCD" w14:textId="7F244CAE" w:rsidR="00D77BE2" w:rsidRDefault="00D77BE2" w:rsidP="00D77BE2">
      <w:pPr>
        <w:spacing w:after="0"/>
      </w:pPr>
      <w:r>
        <w:t>__________________________</w:t>
      </w:r>
      <w:r>
        <w:tab/>
      </w:r>
      <w:r>
        <w:tab/>
        <w:t>______________________________</w:t>
      </w:r>
    </w:p>
    <w:p w14:paraId="15E2281B" w14:textId="4B074469" w:rsidR="00D77BE2" w:rsidRPr="00D77BE2" w:rsidRDefault="00D77BE2" w:rsidP="00D77BE2">
      <w:pPr>
        <w:spacing w:after="0"/>
        <w:rPr>
          <w:sz w:val="20"/>
          <w:szCs w:val="20"/>
        </w:rPr>
      </w:pPr>
      <w:r w:rsidRPr="00D77BE2">
        <w:rPr>
          <w:sz w:val="20"/>
          <w:szCs w:val="20"/>
        </w:rPr>
        <w:t>Oronoco Township Chair</w:t>
      </w:r>
      <w:r w:rsidRPr="00D77BE2">
        <w:rPr>
          <w:sz w:val="20"/>
          <w:szCs w:val="20"/>
        </w:rPr>
        <w:tab/>
      </w:r>
      <w:r w:rsidRPr="00D77BE2">
        <w:rPr>
          <w:sz w:val="20"/>
          <w:szCs w:val="20"/>
        </w:rPr>
        <w:tab/>
      </w:r>
      <w:r w:rsidRPr="00D77BE2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Attest: </w:t>
      </w:r>
      <w:r w:rsidRPr="00D77BE2">
        <w:rPr>
          <w:sz w:val="20"/>
          <w:szCs w:val="20"/>
        </w:rPr>
        <w:t>Oronoco Township Clerk</w:t>
      </w:r>
    </w:p>
    <w:sectPr w:rsidR="00D77BE2" w:rsidRPr="00D77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14"/>
    <w:rsid w:val="00000158"/>
    <w:rsid w:val="00012778"/>
    <w:rsid w:val="006E7173"/>
    <w:rsid w:val="008F49BD"/>
    <w:rsid w:val="00984AF3"/>
    <w:rsid w:val="00994103"/>
    <w:rsid w:val="00A66B42"/>
    <w:rsid w:val="00B71643"/>
    <w:rsid w:val="00CF7314"/>
    <w:rsid w:val="00D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B0BA"/>
  <w15:chartTrackingRefBased/>
  <w15:docId w15:val="{A9C1BFD8-2392-4FD5-8B89-D3479C03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3</cp:revision>
  <dcterms:created xsi:type="dcterms:W3CDTF">2026-03-29T10:13:00Z</dcterms:created>
  <dcterms:modified xsi:type="dcterms:W3CDTF">2026-03-29T10:23:00Z</dcterms:modified>
</cp:coreProperties>
</file>